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0A8E" w14:textId="7867E922" w:rsidR="0092764D" w:rsidRPr="00541508" w:rsidRDefault="0092764D" w:rsidP="0092764D">
      <w:pPr>
        <w:pStyle w:val="NormalWeb"/>
        <w:spacing w:line="360" w:lineRule="auto"/>
        <w:rPr>
          <w:rFonts w:ascii="Unica77 LL" w:hAnsi="Unica77 LL" w:cs="Unica77 LL"/>
          <w:sz w:val="36"/>
          <w:szCs w:val="36"/>
          <w:u w:val="single"/>
        </w:rPr>
      </w:pPr>
      <w:r w:rsidRPr="00541508">
        <w:rPr>
          <w:rFonts w:ascii="Unica77 LL" w:hAnsi="Unica77 LL" w:cs="Unica77 LL"/>
          <w:sz w:val="36"/>
          <w:szCs w:val="36"/>
          <w:u w:val="single"/>
        </w:rPr>
        <w:t>Carolyn Lazard Large Print Exhibition Notes</w:t>
      </w:r>
    </w:p>
    <w:p w14:paraId="6DCB99AF" w14:textId="77777777" w:rsidR="0092764D" w:rsidRDefault="0092764D" w:rsidP="0092764D">
      <w:pPr>
        <w:pStyle w:val="NormalWeb"/>
        <w:spacing w:line="360" w:lineRule="auto"/>
        <w:rPr>
          <w:rFonts w:ascii="Unica77 LL" w:hAnsi="Unica77 LL" w:cs="Unica77 LL"/>
          <w:sz w:val="36"/>
          <w:szCs w:val="36"/>
        </w:rPr>
      </w:pPr>
    </w:p>
    <w:p w14:paraId="6D2716CC" w14:textId="0BC3B38B" w:rsidR="0092764D" w:rsidRPr="0092764D" w:rsidRDefault="0092764D" w:rsidP="0092764D">
      <w:pPr>
        <w:pStyle w:val="NormalWeb"/>
        <w:spacing w:line="360" w:lineRule="auto"/>
        <w:rPr>
          <w:rFonts w:ascii="Unica77 LL" w:hAnsi="Unica77 LL" w:cs="Unica77 LL"/>
          <w:sz w:val="36"/>
          <w:szCs w:val="36"/>
        </w:rPr>
      </w:pPr>
      <w:r>
        <w:rPr>
          <w:rFonts w:ascii="Unica77 LL" w:hAnsi="Unica77 LL" w:cs="Unica77 LL"/>
          <w:sz w:val="36"/>
          <w:szCs w:val="36"/>
        </w:rPr>
        <w:t xml:space="preserve">Carolyn Lazard </w:t>
      </w:r>
    </w:p>
    <w:p w14:paraId="0FA29184" w14:textId="1E81EE84"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i/>
          <w:iCs/>
          <w:sz w:val="36"/>
          <w:szCs w:val="36"/>
        </w:rPr>
        <w:t>Long Take</w:t>
      </w:r>
      <w:r w:rsidRPr="0092764D">
        <w:rPr>
          <w:rFonts w:ascii="Unica77 LL" w:hAnsi="Unica77 LL" w:cs="Unica77 LL"/>
          <w:sz w:val="36"/>
          <w:szCs w:val="36"/>
        </w:rPr>
        <w:br/>
        <w:t>11 February</w:t>
      </w:r>
      <w:r>
        <w:rPr>
          <w:rFonts w:ascii="Unica77 LL" w:hAnsi="Unica77 LL" w:cs="Unica77 LL"/>
          <w:sz w:val="36"/>
          <w:szCs w:val="36"/>
        </w:rPr>
        <w:t xml:space="preserve"> - </w:t>
      </w:r>
      <w:r w:rsidRPr="0092764D">
        <w:rPr>
          <w:rFonts w:ascii="Unica77 LL" w:hAnsi="Unica77 LL" w:cs="Unica77 LL"/>
          <w:sz w:val="36"/>
          <w:szCs w:val="36"/>
        </w:rPr>
        <w:t xml:space="preserve">7 May 2023 </w:t>
      </w:r>
    </w:p>
    <w:p w14:paraId="298D83E9" w14:textId="6AB51CBD" w:rsidR="004A0958" w:rsidRPr="0092764D" w:rsidRDefault="004A0958" w:rsidP="0092764D">
      <w:pPr>
        <w:spacing w:line="360" w:lineRule="auto"/>
        <w:rPr>
          <w:rFonts w:ascii="Unica77 LL" w:hAnsi="Unica77 LL" w:cs="Unica77 LL"/>
          <w:sz w:val="36"/>
          <w:szCs w:val="36"/>
        </w:rPr>
      </w:pPr>
    </w:p>
    <w:p w14:paraId="173428C8"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Through art and writing, Carolyn Lazard (b.1987) explores the social and aesthetic dimensions of care. Their work unfolds in radically different ways, questioning how dominant forms of artmaking and working value efficiency and ability</w:t>
      </w:r>
      <w:r w:rsidRPr="0092764D">
        <w:rPr>
          <w:rFonts w:ascii="Unica77 LL" w:hAnsi="Unica77 LL" w:cs="Unica77 LL"/>
          <w:sz w:val="36"/>
          <w:szCs w:val="36"/>
        </w:rPr>
        <w:br/>
        <w:t xml:space="preserve">over life itself. Lazard’s practice is rooted in accessibility, centring dependency and incapacity as a site of abundance and collectivity. </w:t>
      </w:r>
    </w:p>
    <w:p w14:paraId="470D3C86"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 xml:space="preserve">For their first UK solo exhibition, Lazard presents </w:t>
      </w:r>
      <w:r w:rsidRPr="0092764D">
        <w:rPr>
          <w:rFonts w:ascii="Unica77 LL" w:hAnsi="Unica77 LL" w:cs="Unica77 LL"/>
          <w:i/>
          <w:iCs/>
          <w:sz w:val="36"/>
          <w:szCs w:val="36"/>
        </w:rPr>
        <w:t>Long Take</w:t>
      </w:r>
      <w:r w:rsidRPr="0092764D">
        <w:rPr>
          <w:rFonts w:ascii="Unica77 LL" w:hAnsi="Unica77 LL" w:cs="Unica77 LL"/>
          <w:sz w:val="36"/>
          <w:szCs w:val="36"/>
        </w:rPr>
        <w:t>, an installation that responds to the legacy of dance for the camera, a type of choreography for film and video that emerged in the 1960s.</w:t>
      </w:r>
      <w:r w:rsidRPr="0092764D">
        <w:rPr>
          <w:rFonts w:ascii="Unica77 LL" w:hAnsi="Unica77 LL" w:cs="Unica77 LL"/>
          <w:sz w:val="36"/>
          <w:szCs w:val="36"/>
        </w:rPr>
        <w:br/>
      </w:r>
      <w:r w:rsidRPr="0092764D">
        <w:rPr>
          <w:rFonts w:ascii="Unica77 LL" w:hAnsi="Unica77 LL" w:cs="Unica77 LL"/>
          <w:sz w:val="36"/>
          <w:szCs w:val="36"/>
        </w:rPr>
        <w:lastRenderedPageBreak/>
        <w:t xml:space="preserve">This experimental art form questioned not only where a performance occurs but also how an audience might experience it. </w:t>
      </w:r>
      <w:r w:rsidRPr="0092764D">
        <w:rPr>
          <w:rFonts w:ascii="Unica77 LL" w:hAnsi="Unica77 LL" w:cs="Unica77 LL"/>
          <w:i/>
          <w:iCs/>
          <w:sz w:val="36"/>
          <w:szCs w:val="36"/>
        </w:rPr>
        <w:t xml:space="preserve">Long Take </w:t>
      </w:r>
      <w:r w:rsidRPr="0092764D">
        <w:rPr>
          <w:rFonts w:ascii="Unica77 LL" w:hAnsi="Unica77 LL" w:cs="Unica77 LL"/>
          <w:sz w:val="36"/>
          <w:szCs w:val="36"/>
        </w:rPr>
        <w:t xml:space="preserve">considers this legacy through the lens of accessibility as a creative tool. </w:t>
      </w:r>
    </w:p>
    <w:p w14:paraId="61D7BF8A"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 xml:space="preserve">The exhibition is anchored by </w:t>
      </w:r>
      <w:r w:rsidRPr="0092764D">
        <w:rPr>
          <w:rFonts w:ascii="Unica77 LL" w:hAnsi="Unica77 LL" w:cs="Unica77 LL"/>
          <w:i/>
          <w:iCs/>
          <w:sz w:val="36"/>
          <w:szCs w:val="36"/>
        </w:rPr>
        <w:t xml:space="preserve">Leans, Reverses </w:t>
      </w:r>
      <w:r w:rsidRPr="0092764D">
        <w:rPr>
          <w:rFonts w:ascii="Unica77 LL" w:hAnsi="Unica77 LL" w:cs="Unica77 LL"/>
          <w:sz w:val="36"/>
          <w:szCs w:val="36"/>
        </w:rPr>
        <w:t xml:space="preserve">(2022), a sound installation made of a recorded reading of a dance score, the sound of a dancer’s movement and breath, and an audio description. Audio description is a form of narration that describes the visual elements of an event, a performance, or a film for blind and partially-sighted audiences. Lazard gave a recorded reading of an original dance score—prompts for sequences </w:t>
      </w:r>
    </w:p>
    <w:p w14:paraId="2CDBE953"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of movements—to collaborator and dancer Jerron Herman, and recorded</w:t>
      </w:r>
      <w:r w:rsidRPr="0092764D">
        <w:rPr>
          <w:rFonts w:ascii="Unica77 LL" w:hAnsi="Unica77 LL" w:cs="Unica77 LL"/>
          <w:sz w:val="36"/>
          <w:szCs w:val="36"/>
        </w:rPr>
        <w:br/>
        <w:t xml:space="preserve">his performance. The performance was then audio described in collaboration with poet and artist Joselia Rebekah Hughes. The interdependent score, audio description and captioned sounds can be heard </w:t>
      </w:r>
      <w:r w:rsidRPr="0092764D">
        <w:rPr>
          <w:rFonts w:ascii="Unica77 LL" w:hAnsi="Unica77 LL" w:cs="Unica77 LL"/>
          <w:sz w:val="36"/>
          <w:szCs w:val="36"/>
        </w:rPr>
        <w:lastRenderedPageBreak/>
        <w:t xml:space="preserve">through speakers and read across three separate monitors. </w:t>
      </w:r>
    </w:p>
    <w:p w14:paraId="0B92E6FA"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 xml:space="preserve">Intentionally blurring the boundaries between instruction, description and translation, </w:t>
      </w:r>
      <w:r w:rsidRPr="0092764D">
        <w:rPr>
          <w:rFonts w:ascii="Unica77 LL" w:hAnsi="Unica77 LL" w:cs="Unica77 LL"/>
          <w:i/>
          <w:iCs/>
          <w:sz w:val="36"/>
          <w:szCs w:val="36"/>
        </w:rPr>
        <w:t xml:space="preserve">Leans, Reverses </w:t>
      </w:r>
      <w:r w:rsidRPr="0092764D">
        <w:rPr>
          <w:rFonts w:ascii="Unica77 LL" w:hAnsi="Unica77 LL" w:cs="Unica77 LL"/>
          <w:sz w:val="36"/>
          <w:szCs w:val="36"/>
        </w:rPr>
        <w:t xml:space="preserve">asks us to consider where, and in what form an artwork resides. In replacing the camera with microphones it creates a sensorial blur of sound, vibration, breath, touch, and memory that doesn’t replace the visual but questions sight as a primary means of aesthetic experience. </w:t>
      </w:r>
    </w:p>
    <w:p w14:paraId="1DB3C5C9"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The exhibition is experienced within a staged black box gallery and includes</w:t>
      </w:r>
      <w:r w:rsidRPr="0092764D">
        <w:rPr>
          <w:rFonts w:ascii="Unica77 LL" w:hAnsi="Unica77 LL" w:cs="Unica77 LL"/>
          <w:sz w:val="36"/>
          <w:szCs w:val="36"/>
        </w:rPr>
        <w:br/>
        <w:t xml:space="preserve">the architectural intervention </w:t>
      </w:r>
      <w:r w:rsidRPr="0092764D">
        <w:rPr>
          <w:rFonts w:ascii="Unica77 LL" w:hAnsi="Unica77 LL" w:cs="Unica77 LL"/>
          <w:i/>
          <w:iCs/>
          <w:sz w:val="36"/>
          <w:szCs w:val="36"/>
        </w:rPr>
        <w:t xml:space="preserve">Surround Sound </w:t>
      </w:r>
      <w:r w:rsidRPr="0092764D">
        <w:rPr>
          <w:rFonts w:ascii="Unica77 LL" w:hAnsi="Unica77 LL" w:cs="Unica77 LL"/>
          <w:sz w:val="36"/>
          <w:szCs w:val="36"/>
        </w:rPr>
        <w:t xml:space="preserve">(2022)—vinyl floor mats, like those typically found in dance studios, cover the entire gallery floor and retain the marks of visitors’ shoes, assistive devices, and pushchairs. </w:t>
      </w:r>
      <w:r w:rsidRPr="0092764D">
        <w:rPr>
          <w:rFonts w:ascii="Unica77 LL" w:hAnsi="Unica77 LL" w:cs="Unica77 LL"/>
          <w:i/>
          <w:iCs/>
          <w:sz w:val="36"/>
          <w:szCs w:val="36"/>
        </w:rPr>
        <w:t xml:space="preserve">Institutional Seat 5–8 </w:t>
      </w:r>
      <w:r w:rsidRPr="0092764D">
        <w:rPr>
          <w:rFonts w:ascii="Unica77 LL" w:hAnsi="Unica77 LL" w:cs="Unica77 LL"/>
          <w:sz w:val="36"/>
          <w:szCs w:val="36"/>
        </w:rPr>
        <w:t xml:space="preserve">(2023) is also part of this installation— four standard Nottingham Contemporary gallery benches that Lazard has altered with cushioning, backrests, and height adjustments. In </w:t>
      </w:r>
      <w:r w:rsidRPr="0092764D">
        <w:rPr>
          <w:rFonts w:ascii="Unica77 LL" w:hAnsi="Unica77 LL" w:cs="Unica77 LL"/>
          <w:sz w:val="36"/>
          <w:szCs w:val="36"/>
        </w:rPr>
        <w:lastRenderedPageBreak/>
        <w:t xml:space="preserve">doing so, the benches become more suitable for longer stays and more welcoming for visitors with varying access needs. </w:t>
      </w:r>
    </w:p>
    <w:p w14:paraId="14B77601"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i/>
          <w:iCs/>
          <w:sz w:val="36"/>
          <w:szCs w:val="36"/>
        </w:rPr>
        <w:t xml:space="preserve">Long Take </w:t>
      </w:r>
      <w:r w:rsidRPr="0092764D">
        <w:rPr>
          <w:rFonts w:ascii="Unica77 LL" w:hAnsi="Unica77 LL" w:cs="Unica77 LL"/>
          <w:sz w:val="36"/>
          <w:szCs w:val="36"/>
        </w:rPr>
        <w:t>positions care as a collective concern rather than an individual</w:t>
      </w:r>
      <w:r w:rsidRPr="0092764D">
        <w:rPr>
          <w:rFonts w:ascii="Unica77 LL" w:hAnsi="Unica77 LL" w:cs="Unica77 LL"/>
          <w:sz w:val="36"/>
          <w:szCs w:val="36"/>
        </w:rPr>
        <w:br/>
        <w:t xml:space="preserve">one, it encourages us to think about the often-unseen networks of care, labour, and friendship that make collaboration possible. </w:t>
      </w:r>
    </w:p>
    <w:p w14:paraId="5D36D0DD"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The exhibition’s interpretative texts</w:t>
      </w:r>
      <w:r w:rsidRPr="0092764D">
        <w:rPr>
          <w:rFonts w:ascii="Unica77 LL" w:hAnsi="Unica77 LL" w:cs="Unica77 LL"/>
          <w:sz w:val="36"/>
          <w:szCs w:val="36"/>
        </w:rPr>
        <w:br/>
        <w:t>are available in Unified English Braille (UEB), Arabic, Polish, Urdu, Easy Read</w:t>
      </w:r>
      <w:r w:rsidRPr="0092764D">
        <w:rPr>
          <w:rFonts w:ascii="Unica77 LL" w:hAnsi="Unica77 LL" w:cs="Unica77 LL"/>
          <w:sz w:val="36"/>
          <w:szCs w:val="36"/>
        </w:rPr>
        <w:br/>
        <w:t>and Large Print. A range of resources</w:t>
      </w:r>
      <w:r w:rsidRPr="0092764D">
        <w:rPr>
          <w:rFonts w:ascii="Unica77 LL" w:hAnsi="Unica77 LL" w:cs="Unica77 LL"/>
          <w:sz w:val="36"/>
          <w:szCs w:val="36"/>
        </w:rPr>
        <w:br/>
        <w:t xml:space="preserve">to help families, neurodivergent, and disabled visitors explore and experiences some of the ideas in the exhibition are also available. Following the exhibition’s opening, an audio description of the gallery experience will be available in text, digital braille (BRF) and audio formats. </w:t>
      </w:r>
    </w:p>
    <w:p w14:paraId="1AF79996"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lastRenderedPageBreak/>
        <w:t xml:space="preserve">All are available on Nottingham Contemporary’s website. </w:t>
      </w:r>
    </w:p>
    <w:p w14:paraId="271F1FC5" w14:textId="77777777" w:rsidR="0092764D" w:rsidRPr="0092764D" w:rsidRDefault="0092764D" w:rsidP="0092764D">
      <w:pPr>
        <w:pStyle w:val="NormalWeb"/>
        <w:spacing w:line="360" w:lineRule="auto"/>
        <w:rPr>
          <w:rFonts w:ascii="Unica77 LL" w:hAnsi="Unica77 LL" w:cs="Unica77 LL"/>
          <w:sz w:val="40"/>
          <w:szCs w:val="40"/>
          <w:u w:val="single"/>
        </w:rPr>
      </w:pPr>
      <w:r w:rsidRPr="0092764D">
        <w:rPr>
          <w:rFonts w:ascii="Unica77 LL" w:hAnsi="Unica77 LL" w:cs="Unica77 LL"/>
          <w:b/>
          <w:bCs/>
          <w:sz w:val="40"/>
          <w:szCs w:val="40"/>
          <w:u w:val="single"/>
        </w:rPr>
        <w:t xml:space="preserve">RELATED EVENTS </w:t>
      </w:r>
    </w:p>
    <w:p w14:paraId="70129836"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b/>
          <w:bCs/>
          <w:sz w:val="36"/>
          <w:szCs w:val="36"/>
        </w:rPr>
        <w:t xml:space="preserve">Exhibition Walkthroughs </w:t>
      </w:r>
    </w:p>
    <w:p w14:paraId="1466530B"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b/>
          <w:bCs/>
          <w:sz w:val="36"/>
          <w:szCs w:val="36"/>
        </w:rPr>
        <w:t xml:space="preserve">Wed 15 February, 12pm </w:t>
      </w:r>
    </w:p>
    <w:p w14:paraId="348C978D"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Welcome walkthrough</w:t>
      </w:r>
      <w:r w:rsidRPr="0092764D">
        <w:rPr>
          <w:rFonts w:ascii="Unica77 LL" w:hAnsi="Unica77 LL" w:cs="Unica77 LL"/>
          <w:sz w:val="36"/>
          <w:szCs w:val="36"/>
        </w:rPr>
        <w:br/>
        <w:t xml:space="preserve">Explore the exhibition with our team and join us for refreshments and conversation in the café afterwards. </w:t>
      </w:r>
    </w:p>
    <w:p w14:paraId="109ECBCD"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b/>
          <w:bCs/>
          <w:sz w:val="36"/>
          <w:szCs w:val="36"/>
        </w:rPr>
        <w:t xml:space="preserve">Wed 1 March, 2pm </w:t>
      </w:r>
    </w:p>
    <w:p w14:paraId="36FD2734"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 xml:space="preserve">With Rosa Tyhurst, Curator of Exhibitions, Nottingham Contemporary </w:t>
      </w:r>
    </w:p>
    <w:p w14:paraId="28D5C46B"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b/>
          <w:bCs/>
          <w:sz w:val="36"/>
          <w:szCs w:val="36"/>
        </w:rPr>
        <w:t>12.30pm every Tuesday, Thursday and Saturday, starting 21 February</w:t>
      </w:r>
      <w:r w:rsidRPr="0092764D">
        <w:rPr>
          <w:rFonts w:ascii="Unica77 LL" w:hAnsi="Unica77 LL" w:cs="Unica77 LL"/>
          <w:b/>
          <w:bCs/>
          <w:sz w:val="36"/>
          <w:szCs w:val="36"/>
        </w:rPr>
        <w:br/>
      </w:r>
      <w:r w:rsidRPr="0092764D">
        <w:rPr>
          <w:rFonts w:ascii="Unica77 LL" w:hAnsi="Unica77 LL" w:cs="Unica77 LL"/>
          <w:sz w:val="36"/>
          <w:szCs w:val="36"/>
        </w:rPr>
        <w:t>Join our friendly Gallery Assistants</w:t>
      </w:r>
      <w:r w:rsidRPr="0092764D">
        <w:rPr>
          <w:rFonts w:ascii="Unica77 LL" w:hAnsi="Unica77 LL" w:cs="Unica77 LL"/>
          <w:sz w:val="36"/>
          <w:szCs w:val="36"/>
        </w:rPr>
        <w:br/>
        <w:t xml:space="preserve">for a short exploration of one of our exhibitions. For more details visit </w:t>
      </w:r>
    </w:p>
    <w:p w14:paraId="2BDCFE23"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 xml:space="preserve">our website. </w:t>
      </w:r>
    </w:p>
    <w:p w14:paraId="580E4035"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b/>
          <w:bCs/>
          <w:sz w:val="36"/>
          <w:szCs w:val="36"/>
        </w:rPr>
        <w:lastRenderedPageBreak/>
        <w:t xml:space="preserve">Artist conversation </w:t>
      </w:r>
    </w:p>
    <w:p w14:paraId="35C213A3"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Online</w:t>
      </w:r>
      <w:r w:rsidRPr="0092764D">
        <w:rPr>
          <w:rFonts w:ascii="Unica77 LL" w:hAnsi="Unica77 LL" w:cs="Unica77 LL"/>
          <w:sz w:val="36"/>
          <w:szCs w:val="36"/>
        </w:rPr>
        <w:br/>
        <w:t xml:space="preserve">Carolyn Lazard with Jamila Prowse. </w:t>
      </w:r>
    </w:p>
    <w:p w14:paraId="71781AA5"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b/>
          <w:bCs/>
          <w:sz w:val="36"/>
          <w:szCs w:val="36"/>
        </w:rPr>
        <w:t xml:space="preserve">Free Family Activities </w:t>
      </w:r>
    </w:p>
    <w:p w14:paraId="27A32241"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 xml:space="preserve">During school holidays: </w:t>
      </w:r>
    </w:p>
    <w:p w14:paraId="3865EA43"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b/>
          <w:bCs/>
          <w:sz w:val="36"/>
          <w:szCs w:val="36"/>
        </w:rPr>
        <w:t>14–16 February,</w:t>
      </w:r>
      <w:r w:rsidRPr="0092764D">
        <w:rPr>
          <w:rFonts w:ascii="Unica77 LL" w:hAnsi="Unica77 LL" w:cs="Unica77 LL"/>
          <w:b/>
          <w:bCs/>
          <w:sz w:val="36"/>
          <w:szCs w:val="36"/>
        </w:rPr>
        <w:br/>
        <w:t>4–6 and 11–13 April</w:t>
      </w:r>
      <w:r w:rsidRPr="0092764D">
        <w:rPr>
          <w:rFonts w:ascii="Unica77 LL" w:hAnsi="Unica77 LL" w:cs="Unica77 LL"/>
          <w:b/>
          <w:bCs/>
          <w:sz w:val="36"/>
          <w:szCs w:val="36"/>
        </w:rPr>
        <w:br/>
      </w:r>
      <w:r w:rsidRPr="0092764D">
        <w:rPr>
          <w:rFonts w:ascii="Unica77 LL" w:hAnsi="Unica77 LL" w:cs="Unica77 LL"/>
          <w:sz w:val="36"/>
          <w:szCs w:val="36"/>
        </w:rPr>
        <w:t xml:space="preserve">Explore the themes in the exhibitions through making and play. </w:t>
      </w:r>
    </w:p>
    <w:p w14:paraId="38D8CD3A"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 xml:space="preserve">Carolyn Lazard, </w:t>
      </w:r>
      <w:r w:rsidRPr="0092764D">
        <w:rPr>
          <w:rFonts w:ascii="Unica77 LL" w:hAnsi="Unica77 LL" w:cs="Unica77 LL"/>
          <w:i/>
          <w:iCs/>
          <w:sz w:val="36"/>
          <w:szCs w:val="36"/>
        </w:rPr>
        <w:t xml:space="preserve">Long Take </w:t>
      </w:r>
      <w:r w:rsidRPr="0092764D">
        <w:rPr>
          <w:rFonts w:ascii="Unica77 LL" w:hAnsi="Unica77 LL" w:cs="Unica77 LL"/>
          <w:sz w:val="36"/>
          <w:szCs w:val="36"/>
        </w:rPr>
        <w:t xml:space="preserve">is co-commissioned by Nottingham Contemporary, the Institute of Contemporary Art, University of Pennsylvania and the Walker Art Center. </w:t>
      </w:r>
    </w:p>
    <w:p w14:paraId="70460F72"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 xml:space="preserve">The exhibition is curated by Olivia Aherne, Curator, Chisenhale Gallery (former Curator of Exhibitions, Nottingham Contemporary); Meg Onli, independent curator (former ICA Andrea B. Laporte Associate Curator) and Pavel Pyś, Curator, Visual Arts, </w:t>
      </w:r>
    </w:p>
    <w:p w14:paraId="4ACB7F66"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lastRenderedPageBreak/>
        <w:t xml:space="preserve">Walker Art Center. The exhibition at Nottingham Contemporary is produced by Rosa Tyhurst and Niall Farrelly. </w:t>
      </w:r>
    </w:p>
    <w:p w14:paraId="7BE356F9"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With in-kind support from Le Mark Group Ltd. Exhibition graphics by A</w:t>
      </w:r>
      <w:r w:rsidRPr="0092764D">
        <w:rPr>
          <w:rFonts w:ascii="Arial" w:hAnsi="Arial" w:cs="Arial"/>
          <w:sz w:val="36"/>
          <w:szCs w:val="36"/>
        </w:rPr>
        <w:t>̊</w:t>
      </w:r>
      <w:r w:rsidRPr="0092764D">
        <w:rPr>
          <w:rFonts w:ascii="Unica77 LL" w:hAnsi="Unica77 LL" w:cs="Unica77 LL"/>
          <w:sz w:val="36"/>
          <w:szCs w:val="36"/>
        </w:rPr>
        <w:t>ba</w:t>
      </w:r>
      <w:r w:rsidRPr="0092764D">
        <w:rPr>
          <w:rFonts w:ascii="Arial" w:hAnsi="Arial" w:cs="Arial"/>
          <w:sz w:val="36"/>
          <w:szCs w:val="36"/>
        </w:rPr>
        <w:t>̈</w:t>
      </w:r>
      <w:r w:rsidRPr="0092764D">
        <w:rPr>
          <w:rFonts w:ascii="Unica77 LL" w:hAnsi="Unica77 LL" w:cs="Unica77 LL"/>
          <w:sz w:val="36"/>
          <w:szCs w:val="36"/>
        </w:rPr>
        <w:t xml:space="preserve">ke. </w:t>
      </w:r>
    </w:p>
    <w:p w14:paraId="5B8C9660" w14:textId="1E6A0D16"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 xml:space="preserve">For more information about the exhibition, related events and learning programmes, visit nottinghamcontemporary.org  </w:t>
      </w:r>
    </w:p>
    <w:p w14:paraId="3B71CDE5"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 xml:space="preserve">Nottingham Contemporary is a registered charity and dependent on the generosity of our visitors, partners and supporters. Donate today to directly support our ambitious exhibitions, and the vital work we do with artists, schools, young people, and our local community. </w:t>
      </w:r>
    </w:p>
    <w:p w14:paraId="17F4AF0C" w14:textId="77777777" w:rsidR="0092764D" w:rsidRPr="0092764D" w:rsidRDefault="0092764D" w:rsidP="0092764D">
      <w:pPr>
        <w:pStyle w:val="NormalWeb"/>
        <w:spacing w:line="360" w:lineRule="auto"/>
        <w:rPr>
          <w:rFonts w:ascii="Unica77 LL" w:hAnsi="Unica77 LL" w:cs="Unica77 LL"/>
          <w:sz w:val="36"/>
          <w:szCs w:val="36"/>
        </w:rPr>
      </w:pPr>
      <w:r w:rsidRPr="0092764D">
        <w:rPr>
          <w:rFonts w:ascii="Unica77 LL" w:hAnsi="Unica77 LL" w:cs="Unica77 LL"/>
          <w:sz w:val="36"/>
          <w:szCs w:val="36"/>
        </w:rPr>
        <w:t xml:space="preserve">Suggested donation: £3 </w:t>
      </w:r>
    </w:p>
    <w:p w14:paraId="411C69CF" w14:textId="77777777" w:rsidR="0092764D" w:rsidRDefault="0092764D"/>
    <w:sectPr w:rsidR="0092764D">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DE1E" w14:textId="77777777" w:rsidR="00586B15" w:rsidRDefault="00586B15" w:rsidP="0092764D">
      <w:r>
        <w:separator/>
      </w:r>
    </w:p>
  </w:endnote>
  <w:endnote w:type="continuationSeparator" w:id="0">
    <w:p w14:paraId="0D6F2832" w14:textId="77777777" w:rsidR="00586B15" w:rsidRDefault="00586B15" w:rsidP="0092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2281827"/>
      <w:docPartObj>
        <w:docPartGallery w:val="Page Numbers (Bottom of Page)"/>
        <w:docPartUnique/>
      </w:docPartObj>
    </w:sdtPr>
    <w:sdtContent>
      <w:p w14:paraId="2DA94B95" w14:textId="798AE7EE" w:rsidR="0092764D" w:rsidRDefault="0092764D"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48D1E6" w14:textId="77777777" w:rsidR="0092764D" w:rsidRDefault="0092764D" w:rsidP="009276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2002957"/>
      <w:docPartObj>
        <w:docPartGallery w:val="Page Numbers (Bottom of Page)"/>
        <w:docPartUnique/>
      </w:docPartObj>
    </w:sdtPr>
    <w:sdtContent>
      <w:p w14:paraId="4D5A5928" w14:textId="175816BB" w:rsidR="0092764D" w:rsidRDefault="0092764D"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C94B4C" w14:textId="77777777" w:rsidR="0092764D" w:rsidRDefault="0092764D" w:rsidP="009276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5282" w14:textId="77777777" w:rsidR="00586B15" w:rsidRDefault="00586B15" w:rsidP="0092764D">
      <w:r>
        <w:separator/>
      </w:r>
    </w:p>
  </w:footnote>
  <w:footnote w:type="continuationSeparator" w:id="0">
    <w:p w14:paraId="360A215E" w14:textId="77777777" w:rsidR="00586B15" w:rsidRDefault="00586B15" w:rsidP="00927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4D"/>
    <w:rsid w:val="004A0958"/>
    <w:rsid w:val="00541508"/>
    <w:rsid w:val="00586B15"/>
    <w:rsid w:val="0092764D"/>
    <w:rsid w:val="00D70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6475B7"/>
  <w15:chartTrackingRefBased/>
  <w15:docId w15:val="{F32AC716-D5A7-5D4D-A525-90B3623B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64D"/>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92764D"/>
    <w:pPr>
      <w:tabs>
        <w:tab w:val="center" w:pos="4513"/>
        <w:tab w:val="right" w:pos="9026"/>
      </w:tabs>
    </w:pPr>
  </w:style>
  <w:style w:type="character" w:customStyle="1" w:styleId="FooterChar">
    <w:name w:val="Footer Char"/>
    <w:basedOn w:val="DefaultParagraphFont"/>
    <w:link w:val="Footer"/>
    <w:uiPriority w:val="99"/>
    <w:rsid w:val="0092764D"/>
  </w:style>
  <w:style w:type="character" w:styleId="PageNumber">
    <w:name w:val="page number"/>
    <w:basedOn w:val="DefaultParagraphFont"/>
    <w:uiPriority w:val="99"/>
    <w:semiHidden/>
    <w:unhideWhenUsed/>
    <w:rsid w:val="0092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7100">
      <w:bodyDiv w:val="1"/>
      <w:marLeft w:val="0"/>
      <w:marRight w:val="0"/>
      <w:marTop w:val="0"/>
      <w:marBottom w:val="0"/>
      <w:divBdr>
        <w:top w:val="none" w:sz="0" w:space="0" w:color="auto"/>
        <w:left w:val="none" w:sz="0" w:space="0" w:color="auto"/>
        <w:bottom w:val="none" w:sz="0" w:space="0" w:color="auto"/>
        <w:right w:val="none" w:sz="0" w:space="0" w:color="auto"/>
      </w:divBdr>
      <w:divsChild>
        <w:div w:id="1954750016">
          <w:marLeft w:val="0"/>
          <w:marRight w:val="0"/>
          <w:marTop w:val="0"/>
          <w:marBottom w:val="0"/>
          <w:divBdr>
            <w:top w:val="none" w:sz="0" w:space="0" w:color="auto"/>
            <w:left w:val="none" w:sz="0" w:space="0" w:color="auto"/>
            <w:bottom w:val="none" w:sz="0" w:space="0" w:color="auto"/>
            <w:right w:val="none" w:sz="0" w:space="0" w:color="auto"/>
          </w:divBdr>
          <w:divsChild>
            <w:div w:id="659499804">
              <w:marLeft w:val="0"/>
              <w:marRight w:val="0"/>
              <w:marTop w:val="0"/>
              <w:marBottom w:val="0"/>
              <w:divBdr>
                <w:top w:val="none" w:sz="0" w:space="0" w:color="auto"/>
                <w:left w:val="none" w:sz="0" w:space="0" w:color="auto"/>
                <w:bottom w:val="none" w:sz="0" w:space="0" w:color="auto"/>
                <w:right w:val="none" w:sz="0" w:space="0" w:color="auto"/>
              </w:divBdr>
              <w:divsChild>
                <w:div w:id="19157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0567">
      <w:bodyDiv w:val="1"/>
      <w:marLeft w:val="0"/>
      <w:marRight w:val="0"/>
      <w:marTop w:val="0"/>
      <w:marBottom w:val="0"/>
      <w:divBdr>
        <w:top w:val="none" w:sz="0" w:space="0" w:color="auto"/>
        <w:left w:val="none" w:sz="0" w:space="0" w:color="auto"/>
        <w:bottom w:val="none" w:sz="0" w:space="0" w:color="auto"/>
        <w:right w:val="none" w:sz="0" w:space="0" w:color="auto"/>
      </w:divBdr>
      <w:divsChild>
        <w:div w:id="329019459">
          <w:marLeft w:val="0"/>
          <w:marRight w:val="0"/>
          <w:marTop w:val="0"/>
          <w:marBottom w:val="0"/>
          <w:divBdr>
            <w:top w:val="none" w:sz="0" w:space="0" w:color="auto"/>
            <w:left w:val="none" w:sz="0" w:space="0" w:color="auto"/>
            <w:bottom w:val="none" w:sz="0" w:space="0" w:color="auto"/>
            <w:right w:val="none" w:sz="0" w:space="0" w:color="auto"/>
          </w:divBdr>
          <w:divsChild>
            <w:div w:id="1862889230">
              <w:marLeft w:val="0"/>
              <w:marRight w:val="0"/>
              <w:marTop w:val="0"/>
              <w:marBottom w:val="0"/>
              <w:divBdr>
                <w:top w:val="none" w:sz="0" w:space="0" w:color="auto"/>
                <w:left w:val="none" w:sz="0" w:space="0" w:color="auto"/>
                <w:bottom w:val="none" w:sz="0" w:space="0" w:color="auto"/>
                <w:right w:val="none" w:sz="0" w:space="0" w:color="auto"/>
              </w:divBdr>
              <w:divsChild>
                <w:div w:id="742030134">
                  <w:marLeft w:val="0"/>
                  <w:marRight w:val="0"/>
                  <w:marTop w:val="0"/>
                  <w:marBottom w:val="0"/>
                  <w:divBdr>
                    <w:top w:val="none" w:sz="0" w:space="0" w:color="auto"/>
                    <w:left w:val="none" w:sz="0" w:space="0" w:color="auto"/>
                    <w:bottom w:val="none" w:sz="0" w:space="0" w:color="auto"/>
                    <w:right w:val="none" w:sz="0" w:space="0" w:color="auto"/>
                  </w:divBdr>
                </w:div>
                <w:div w:id="1893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7944">
      <w:bodyDiv w:val="1"/>
      <w:marLeft w:val="0"/>
      <w:marRight w:val="0"/>
      <w:marTop w:val="0"/>
      <w:marBottom w:val="0"/>
      <w:divBdr>
        <w:top w:val="none" w:sz="0" w:space="0" w:color="auto"/>
        <w:left w:val="none" w:sz="0" w:space="0" w:color="auto"/>
        <w:bottom w:val="none" w:sz="0" w:space="0" w:color="auto"/>
        <w:right w:val="none" w:sz="0" w:space="0" w:color="auto"/>
      </w:divBdr>
      <w:divsChild>
        <w:div w:id="1490706898">
          <w:marLeft w:val="0"/>
          <w:marRight w:val="0"/>
          <w:marTop w:val="0"/>
          <w:marBottom w:val="0"/>
          <w:divBdr>
            <w:top w:val="none" w:sz="0" w:space="0" w:color="auto"/>
            <w:left w:val="none" w:sz="0" w:space="0" w:color="auto"/>
            <w:bottom w:val="none" w:sz="0" w:space="0" w:color="auto"/>
            <w:right w:val="none" w:sz="0" w:space="0" w:color="auto"/>
          </w:divBdr>
          <w:divsChild>
            <w:div w:id="462815237">
              <w:marLeft w:val="0"/>
              <w:marRight w:val="0"/>
              <w:marTop w:val="0"/>
              <w:marBottom w:val="0"/>
              <w:divBdr>
                <w:top w:val="none" w:sz="0" w:space="0" w:color="auto"/>
                <w:left w:val="none" w:sz="0" w:space="0" w:color="auto"/>
                <w:bottom w:val="none" w:sz="0" w:space="0" w:color="auto"/>
                <w:right w:val="none" w:sz="0" w:space="0" w:color="auto"/>
              </w:divBdr>
              <w:divsChild>
                <w:div w:id="17127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2</cp:revision>
  <dcterms:created xsi:type="dcterms:W3CDTF">2023-02-10T11:42:00Z</dcterms:created>
  <dcterms:modified xsi:type="dcterms:W3CDTF">2023-02-10T12:22:00Z</dcterms:modified>
</cp:coreProperties>
</file>